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DE3242" w:rsidRPr="0017530A" w:rsidRDefault="00DE3242" w:rsidP="0017530A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7530A">
        <w:rPr>
          <w:rFonts w:ascii="Verdana" w:hAnsi="Verdana"/>
          <w:color w:val="000000"/>
        </w:rPr>
        <w:t>Фэнтези и научная фантастика: взгляд писателя</w:t>
      </w:r>
    </w:p>
    <w:p w:rsidR="00564C9E" w:rsidRPr="0017530A" w:rsidRDefault="00564C9E" w:rsidP="0017530A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7530A">
        <w:rPr>
          <w:rFonts w:ascii="Verdana" w:hAnsi="Verdana"/>
          <w:b w:val="0"/>
          <w:color w:val="000000"/>
          <w:sz w:val="24"/>
        </w:rPr>
        <w:t>Роджер Желязны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Еще одно эссе, возможно, не перенапряжет усилия читателей, хотя я спешу добавить, что у меня есть договор с опекающими меня персонами предоставить мне возможность сделать заключительное высказывание с попыткой подвести итог. Это просто небольшое интервью, которое я дал, руководя Седьмой ежегодной Итоновской Конференцией научной Фантастики и Фэнтези в Калифорнийском университете в Риверсайде, в 1985 году; я думаю, что это может быть достойным завершением книги.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Я часто пытался понять, кем я являюсь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писателем, пишущим научную фантастику, которому снится, что он пишет фэнтези, или наоборот. Большинство моих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фантастических вещей содержат некоторые элементы фэнтези и наоборот. Я полагаю, это должно раздражать ревнителей обоих направлений, которые думают, что я порчу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фантастические рассказы включением необъяснимого, или я насилую чистоту фэнтези объяснением ее чудес.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Некоторая правда есть и в том, и в другом, так что единственное, что я могу сделать, так это попытаться рассказать, почему я так действую, что кажущаяся разнородность моих работ означает для меня и каким я вижу это значение для всей области в целом. Мое первое самостоятельное чтение в школе включало мифологию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в громадных количествах. Это было до тех пор, пока я не открыл для себя народные сказки, чудесные истории, фантастические путешествия. И это продолжалось довольно долго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до одиннадцати лет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пока я не прочитал свою первую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фантастическую историю.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До последнего времени я не осознавал, что такой порядок чтения очень хорошо соответствует развитию этой области. Сначала пришла фантазия, с ее корнями в разных религиозных системах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мифологией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и эпическая литература. Смягченные версии этих материалов пережили возникновение Христианства в виде легенд, фольклора, чудесных историй и частью включены в христианские легенды. Позднее возникли чудесные путешествия, утопии. Затем, наконец, вместе с индустриальной революцией, научные обоснования были использованы для объяснения сверхъестественного Мэри Шелли, Жюлем Верном, Г.Г.Уэлсом. Я действительно читал книги в надлежащем хронологическом порядке.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Теперь я чувствую, что это окрашивает мой подход к использованию чудесного в литературе. Ранние вещи в стиле фэнтези включали значительные измышления на маленькой и шаткой фактической базе. Множество догадок и сверхъестественные объяснения событий перешли в игру. Я воспринял эти вещи так, как мог бы ребенок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без всякой критики. Моим единственным читательским критерием было, нравится ли мне история. Примерно в то время, когда я открыл научную фантастику, я уже был способен к раздумьям. Я начал ценить разум. Я даже начал находить удовольствие в чтении о науке. Мой случай, я полагаю, подтверждает, что онтогенез повторяет филогенез.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Мне никогда не переставали нравиться все эти формы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я полагаю, потому что я думал обо всех. Руководствуясь эмоциями, я считаю, что трудно провести границу между научной фантастикой и фэнтези, поскольку я ощущаю их разными полюсами непрерывности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одинаковые ингредиенты, но разная пропорция. Разумом я понимаю, что если элементы сюжета включают сверхъестественное, или просто необъяснимое с точки зрения известных законов природы, такая история должна рассматриваться как фэнтези. Если неправдоподобное объясняется или есть указатель того, что это может быть объяснено в терминах современного знания или теории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или их некоторого расширения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я думаю, что истории такого сорта могут считаться научной фантастикой. Однако, когда я пишу, я обычно не думаю в терминах такого простого разделения. Я чувствую, что фантастика может отражать жизнь и поэтому ее способ существования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классический акт подражания, имитации действия. Я допускаю, что и в научной фантастике, и в фэнтези мы пользуемся кривым зеркалом, но несмотря на это, оно тем или иным образом представляет то, что перед ним помещено. Особенное достоинство кривого зеркала состоит в том, что оно делает особое ударение на тех аспектах действительности, которые автор хочет подчеркнуть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то, что наиболее близко к сатире в классическом смысле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 xml:space="preserve">и это </w:t>
      </w:r>
      <w:r w:rsidRPr="0017530A">
        <w:rPr>
          <w:rFonts w:ascii="Verdana" w:hAnsi="Verdana"/>
          <w:color w:val="000000"/>
          <w:sz w:val="20"/>
        </w:rPr>
        <w:lastRenderedPageBreak/>
        <w:t>превращает научную фантастику и фэнтези в особый способ высказывания о современном мире.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Я не только не люблю думать о моих историях в раздельных категориях научной фантастики и фэнтези, но и считаю действительно опасным для своего творчества проводить такое разделение в моем ощущении континуума. Следуя Джону Пфейферу, автору книги «Человеческий мозг»: «Вся вселенная упакована внутри вашего черепа, компактная модель вашего окружения, основанная на всех впечатлениях, которые вы собрали в течение вашей жизни.» По необходимости, такая модель ограничена рамками индивидуальных ощущений и природой личных впечатлений.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Таким образом, мир, о котором я пишу, мир, перед которым я держу кривое зеркало, не является реальным миром в конечном счете. Это только мое ограниченное, персональное изображение реального мира. Поэтому, хотя я очень старался сделать мою версию реальности по возможности более полной, в ней все равно присутствуют пропуски, темные области, которые доказывают мое невежество в разных областях. У нас у всех есть такие темные места в чем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нибудь, так как нам не хватает ни времени, ни возможности чтобы узнать все. Это является частью человеческого существования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тени Юнга, если вам нравится или незаполненные адреса в вашей персональной базе данных.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Как все это соотносится с чудесным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с фэнтези и научной фантастикой? Я думаю, что научная фантастика с ее рациональным, квази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документальным подходом к существующему, берет начало от ясных, хорошо регулируемых областей нашей собственной вселенной, в то время как фэнтези, исторически имеет корни в темных областях. Я уже слышу голоса, возражающие против того, что я подразумеваю, будто фэнтези берет начало в невежестве, а научная фантастика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в знании. Отчасти это верно, отчасти нет. Цитируя Эдит Гамильтон: «не было более образованного поколения, чем то, которое возвещало конец Афин.» И это были те самые высокоразумные Греки, которые передали нам классическую мифологию в ее наиболее сильных, изощренных формах, в то время как создавали начальные главы мировой истории.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Фэнтези может брать свои исходные посылки в неизвестном, но это неизвестное дальше обрабатывается рассказчиком вполне рациональным способом. Таким образом, сама история разворачивается по вполне определенным законам. Я не говорю, что темные области представляют собой вещи совершенно непознаваемые, а только, что это представления о неизвестном отдельных авторов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от безымянных ужасов Лавкрафта до мыслительных действий кукол Ларри Ивена. Я не думаю, что модели мира двух авторов совпадают в точности, но я чувствую, что определение и представление таких областей неизвестного в литературе является основой для фэнтези.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Однако я хочу пойти еще дальше. Я совершенно не могу представить действенности хорошего рассказа, в котором присутствует либо только чистая фэнтези, либо только научная фантастика в тех критериях различия, какими я их вижу. Как я говорил раньше, я обычно не думаю о таких различиях, пока я работаю. Пока я пишу историю определенного размера, мое личное эстетическое чувство обуславливает стремление к законченности, к полноте картины, к тому, чтобы дать по крайней мере намек на все, с чем я сталкиваюсь в этой версии реальности. Таким образом, мои вещи отражают темные стороны в такой же степени, как и светлые; они содержат несколько неясных или необъясненных вещей при преобладании того, что подчиняется правилам. Другими словами, я смешиваю фэнтези и научную фантастику. В результате получается «сайнс фэнтези»</w:t>
      </w:r>
      <w:r w:rsidR="0017530A" w:rsidRPr="0017530A">
        <w:rPr>
          <w:rFonts w:ascii="Verdana" w:hAnsi="Verdana"/>
          <w:color w:val="000000"/>
          <w:sz w:val="20"/>
          <w:lang w:val="en-US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незаконное дитя такого способа размышления.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Я действовал таким образом в своей первой книге «Этот бессмертный» оставляя некоторые вещи необъясненными и открытыми для множества интерпретаций. Я сделал это снова во второй книге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«Повелитель Снов», только здесь темные области были скорее в самой человеческой психике, нежели в событиях. Это было в религии Пейян и это действует на моего рассказчика, Френсиса Сэндо, в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 xml:space="preserve">фантастическом романе «Остров Мертвых». Во «Властелине Света» события могут рассматриваться либо как научная фантастика, либо как фэнтези, лишь с легким смещением акцентов. И так далее, вплоть до моего последнего романа «Глаз </w:t>
      </w:r>
      <w:r w:rsidRPr="0017530A">
        <w:rPr>
          <w:rFonts w:ascii="Verdana" w:hAnsi="Verdana"/>
          <w:color w:val="000000"/>
          <w:sz w:val="20"/>
        </w:rPr>
        <w:lastRenderedPageBreak/>
        <w:t>Кота», где последняя четверть книги может восприниматься либо как фэнтези, либо как галлюцинация, в соответствии со вкусами читающего. Я пишу так, потому что должен, потому что маленькая часть меня, которая желает оставаться честной в то время, когда я рассказываю тщательно просчитанную ложь научной фантастики, обязывает меня показать таким способом, что я не знаю всего, и что мое незнание тоже должно быть каким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то образом проявлено в той вселенной, которую я творю.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Я было недавно удивлялся, куда это привело меня о общем контексте Американского воплощения чудесного. Я начал просматривать его историю и был поражен неожиданно интересными связями в общей схеме вещей. Мы должны вернуться назад.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Американская фантастическая литература стала заполнять журналы во второй половине 1920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тых годов. С этого времени и все тридцатые годы она в большом долгу перед другими видами приключенческой литературы. Мы можем рассматривать это как тот вид научной фантастики, откуда возник толчок, за которым последовало все остальное.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Что же произошло потом, в 1940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вых? Это было время «жестких»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фантастических историй, время историй такого сорта, у которых, согласно Кингсли Эмису, «мысль выступала как герой». Айзек Азимов и Роберт Хайнлайн в особенности, представляют этот период, когда идея, взятая из науки, доминировала над рассказчиком. Сначала не казалось странным, что наша научная фантастика вступила в свой первый различаемый период с тем, что было последней фазой исторического развития фантастической литературы,</w:t>
      </w:r>
      <w:r w:rsidR="0017530A" w:rsidRPr="0017530A">
        <w:rPr>
          <w:rFonts w:ascii="Verdana" w:hAnsi="Verdana"/>
          <w:color w:val="000000"/>
          <w:sz w:val="20"/>
          <w:lang w:val="en-US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тех технически ориентированных форм чудесного рассказа, которые должны были ожидать подходящего развития науки. Но что произошло дальше? В 1950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тых годах с упадком многих научно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фантастических журналов и перемещением научной фантастики в дешевые и не очень дешевые издания, в связи со свободой от журнальных ограничений, полученной таким образом, интересы переместились в социологическую и политическую области. Идея все еще оставалась героем, но идеи теперь брались не только исключительно из области естественных наук. Я имею в виду Эдварда Беллами и Фреда Пола. Я имею в виду Томаса Мора и Мака Рейнольдса. Я имею в виду Ницше и некоторые исследования Фрейда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(которые я могу классифицировать только как фантазии) и я имею ввиду Филиппа Жозе Фармера. Идя назад еще дальше, к пасторальному жанру, я имею в виду Рея Бредбери и Клиффорда Саймака. Двигаясь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вперед, я полагаю, к экспериментальным работам 1960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тых, я вспоминаю «Кармина Бурана», трубадуров, миннезингеров, лирическую литературу даже более раннего периода.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А 1970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тые? Мы видели большой вал фэнтези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толстые трилогии, детально описывающие дела богов, воинов, кудесников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положение, которое сохраняется и теперь, и, как в случае Толкиена, принимает форму заменителя библии. Американская литература о чудесном, по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видимому, повторяет филогенез в обратном направлении. Мы упорно работали над ней и в конце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концов вернули ее к мифическому началу. При чтении многих материалов в этой области у меня возникает странное чувство, как будто все это уже было.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Это все шуточки, можете вы сказать, будучи готовыми сослаться на мои собственные примеры. Правильно. Я могу отметить многочисленные исключения из того обобщения, которое я сделал.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Но я все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таки чувствую, что в том, что я говорил, есть доля истины.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Итак, куда же мы двинемся теперь? Я вижу три возможности: мы можем вернуться назад и писать приключенческие истории с невероятными украшениями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такое направление, похоже, выбрал Голливуд. Или же мы можем повернуться в другом направлении и двигаться дальше, подхватывая, как Г.Г.Уэллс, что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нибудь на повороте столетия. Или же мы можем вернуться к нашему опыту и заняться синтезом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формой научной фантастики, в которой сочетаются хорошая форма рассказа с технической чувствительностью сороковых, социологией пятидесятых и вниманием к лучшему качеству написанного и уточнению характеров, которое пришло в шестидесятых.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Вот эти три возможности. Менее вероятным могло бы быть движение в последнем направлении с переработкой опыта 1970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 xml:space="preserve">тых, когда фэнтези достигла того, что может быть названо ее пиком в этом столетии. Это означает использование всего, о </w:t>
      </w:r>
      <w:r w:rsidRPr="0017530A">
        <w:rPr>
          <w:rFonts w:ascii="Verdana" w:hAnsi="Verdana"/>
          <w:color w:val="000000"/>
          <w:sz w:val="20"/>
        </w:rPr>
        <w:lastRenderedPageBreak/>
        <w:t>чем говорилось ранее с мазками темного там и сям, с добавкой только для вкуса, но не перебивая основные ингредиенты, манипулирование нашей фантазией в широких рамках рационального и иррационального,</w:t>
      </w:r>
      <w:r w:rsidR="0017530A" w:rsidRPr="0017530A">
        <w:rPr>
          <w:rFonts w:ascii="Verdana" w:hAnsi="Verdana"/>
          <w:color w:val="000000"/>
          <w:sz w:val="20"/>
          <w:lang w:val="en-US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наше воображение нуждается и в том, и в другом для воспламенения, и полнота выражения требует знакомства с хаосом и темнотой в противопоставлении сумме наших знаний и более успешным традициям мышления, наследниками которых мы являемся.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Я полагаю, что именно это противопоставление, создающее напряжения и конфликты между человеческим умом и сердцем, присутствующие в особенности во всех хороших книгах, вторично для самой линии повествования, но необходимо, если такое трудно определимое качество, известное как интонация, должно звучать правдиво в поиске отражательной правдивости. Это качество, я полагаю, присутствует во всех лучших вещах любого жанра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или ни в одном жанре, так как разделение это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только предмет соглашения и предмет пересмотра производителями или издателями. Кто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то должен чувствительно относиться к такого рода вещам, когда пытаются переделать область по своему собственному усмотрению, поскольку кто</w:t>
      </w:r>
      <w:r w:rsidR="0017530A" w:rsidRPr="0017530A">
        <w:rPr>
          <w:rFonts w:ascii="Verdana" w:hAnsi="Verdana"/>
          <w:color w:val="000000"/>
          <w:sz w:val="20"/>
        </w:rPr>
        <w:t>-</w:t>
      </w:r>
      <w:r w:rsidRPr="0017530A">
        <w:rPr>
          <w:rFonts w:ascii="Verdana" w:hAnsi="Verdana"/>
          <w:color w:val="000000"/>
          <w:sz w:val="20"/>
        </w:rPr>
        <w:t>то может ненавидеть затемнение поля зрения такими авторскими доблестями как нарциссизм и высокомерие.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7530A">
        <w:rPr>
          <w:rFonts w:ascii="Verdana" w:hAnsi="Verdana"/>
          <w:color w:val="000000"/>
          <w:sz w:val="20"/>
        </w:rPr>
        <w:t>Пойдут ли научная фантастика и фэнтези этим путем? Отчасти это зависит от того, кто пишет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и в значительной степени то, что я вижу много талантливых пришельцев в этой области, ободряет меня. Наиболее талантливы, похоже те, которые больше заботятся о тех вещах, о которых сейчас был разговор, нежели о сюжете. Их основная забота</w:t>
      </w:r>
      <w:r w:rsidR="0017530A" w:rsidRPr="0017530A">
        <w:rPr>
          <w:rFonts w:ascii="Verdana" w:hAnsi="Verdana"/>
          <w:color w:val="000000"/>
          <w:sz w:val="20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насколько хорошо была рассказана история. Область сама по себе, как и жизнь, проходит через обычные циклы, состоящие из увядания, периодического внимания к определенным темам или характерам,</w:t>
      </w:r>
      <w:r w:rsidR="0017530A" w:rsidRPr="0017530A">
        <w:rPr>
          <w:rFonts w:ascii="Verdana" w:hAnsi="Verdana"/>
          <w:color w:val="000000"/>
          <w:sz w:val="20"/>
          <w:lang w:val="en-US"/>
        </w:rPr>
        <w:t xml:space="preserve"> — </w:t>
      </w:r>
      <w:r w:rsidRPr="0017530A">
        <w:rPr>
          <w:rFonts w:ascii="Verdana" w:hAnsi="Verdana"/>
          <w:color w:val="000000"/>
          <w:sz w:val="20"/>
        </w:rPr>
        <w:t>так же как и толстым книгам, тонким книгам, трилогиям. Лучшие истории будут вспоминаться годы спустя.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  <w:r w:rsidRPr="0017530A">
        <w:rPr>
          <w:rFonts w:ascii="Verdana" w:hAnsi="Verdana"/>
          <w:color w:val="000000"/>
          <w:sz w:val="20"/>
        </w:rPr>
        <w:t xml:space="preserve">Какими они будут, я не знаю. </w:t>
      </w:r>
      <w:r w:rsidRPr="0017530A">
        <w:rPr>
          <w:rFonts w:ascii="Verdana" w:hAnsi="Verdana"/>
          <w:color w:val="000000"/>
          <w:sz w:val="20"/>
          <w:lang w:val="en-US"/>
        </w:rPr>
        <w:t>Я не предсказатель.</w:t>
      </w:r>
    </w:p>
    <w:p w:rsidR="00564C9E" w:rsidRPr="0017530A" w:rsidRDefault="00564C9E" w:rsidP="0017530A">
      <w:pPr>
        <w:widowControl/>
        <w:suppressAutoHyphens/>
        <w:ind w:firstLine="283"/>
        <w:rPr>
          <w:rFonts w:ascii="Verdana" w:hAnsi="Verdana"/>
          <w:color w:val="000000"/>
          <w:sz w:val="20"/>
          <w:lang w:val="en-US"/>
        </w:rPr>
      </w:pPr>
    </w:p>
    <w:sectPr w:rsidR="00564C9E" w:rsidRPr="0017530A" w:rsidSect="0017530A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17530A" w:rsidRDefault="0017530A" w:rsidP="0017530A">
      <w:r>
        <w:separator/>
      </w:r>
    </w:p>
  </w:endnote>
  <w:endnote w:type="continuationSeparator" w:id="0">
    <w:p w:rsidR="0017530A" w:rsidRDefault="0017530A" w:rsidP="001753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Default="0017530A" w:rsidP="00C3541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:rsidR="0017530A" w:rsidRDefault="0017530A" w:rsidP="0017530A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Pr="0017530A" w:rsidRDefault="0017530A" w:rsidP="0017530A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7530A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Default="001753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17530A" w:rsidRDefault="0017530A" w:rsidP="0017530A">
      <w:r>
        <w:separator/>
      </w:r>
    </w:p>
  </w:footnote>
  <w:footnote w:type="continuationSeparator" w:id="0">
    <w:p w:rsidR="0017530A" w:rsidRDefault="0017530A" w:rsidP="001753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Default="001753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Pr="0017530A" w:rsidRDefault="0017530A" w:rsidP="0017530A">
    <w:pPr>
      <w:pStyle w:val="Header"/>
      <w:ind w:firstLine="0"/>
      <w:rPr>
        <w:rFonts w:ascii="Arial" w:hAnsi="Arial" w:cs="Arial"/>
        <w:color w:val="999999"/>
        <w:sz w:val="20"/>
      </w:rPr>
    </w:pPr>
    <w:r w:rsidRPr="0017530A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17530A" w:rsidRDefault="001753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useWord2013TrackBottomHyphenation" w:uri="http://schemas.microsoft.com/office/word" w:val="0"/>
  </w:compat>
  <w:rsids>
    <w:rsidRoot w:val="00DE3242"/>
    <w:rsid w:val="0017530A"/>
    <w:rsid w:val="00564C9E"/>
    <w:rsid w:val="00DE32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efaultImageDpi w14:val="0"/>
  <w15:docId w15:val="{DB1CF5C1-3438-42E4-9420-936E6F2B9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basedOn w:val="DefaultParagraphFont"/>
    <w:link w:val="Heading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basedOn w:val="DefaultParagraphFont"/>
    <w:link w:val="Heading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basedOn w:val="DefaultParagraphFont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basedOn w:val="DefaultParagraphFont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basedOn w:val="DefaultParagraphFont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i/>
      <w:iCs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0" w:firstLine="400"/>
      <w:jc w:val="both"/>
    </w:pPr>
    <w:rPr>
      <w:rFonts w:ascii="Times New Roman" w:hAnsi="Times New Roman"/>
      <w:b/>
      <w:bCs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134" w:right="600"/>
      <w:jc w:val="both"/>
    </w:pPr>
    <w:rPr>
      <w:rFonts w:ascii="Times New Roman" w:hAnsi="Times New Roman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1701" w:right="600"/>
      <w:jc w:val="both"/>
    </w:pPr>
    <w:rPr>
      <w:rFonts w:ascii="Times New Roman" w:hAnsi="Times New Roman"/>
      <w:b/>
      <w:bCs/>
      <w:i/>
      <w:iCs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firstLine="200"/>
      <w:jc w:val="both"/>
    </w:pPr>
    <w:rPr>
      <w:rFonts w:ascii="Times New Roman" w:hAnsi="Times New Roman"/>
      <w:sz w:val="20"/>
      <w:szCs w:val="20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spacing w:after="0" w:line="240" w:lineRule="auto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spacing w:after="0" w:line="240" w:lineRule="auto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 w:after="0" w:line="240" w:lineRule="auto"/>
      <w:ind w:left="2000" w:right="600"/>
    </w:pPr>
    <w:rPr>
      <w:rFonts w:ascii="Times New Roman" w:hAnsi="Times New Roman"/>
      <w:b/>
      <w:bCs/>
      <w:sz w:val="20"/>
      <w:szCs w:val="20"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7530A"/>
    <w:pPr>
      <w:tabs>
        <w:tab w:val="center" w:pos="4844"/>
        <w:tab w:val="right" w:pos="9689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7530A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7530A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7530A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753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2019</Words>
  <Characters>12279</Characters>
  <Application>Microsoft Office Word</Application>
  <DocSecurity>0</DocSecurity>
  <Lines>204</Lines>
  <Paragraphs>29</Paragraphs>
  <ScaleCrop>false</ScaleCrop>
  <Manager>Andrey Piskunov</Manager>
  <Company>Библиотека «Артефакт»</Company>
  <LinksUpToDate>false</LinksUpToDate>
  <CharactersWithSpaces>14269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Фэнтези и научная фантастика: взгляд писателя</dc:title>
  <dc:subject/>
  <dc:creator>Роджер Желязны</dc:creator>
  <cp:keywords/>
  <dc:description/>
  <cp:lastModifiedBy>Andrey Piskunov</cp:lastModifiedBy>
  <cp:revision>2</cp:revision>
  <dcterms:created xsi:type="dcterms:W3CDTF">2025-07-09T02:54:00Z</dcterms:created>
  <dcterms:modified xsi:type="dcterms:W3CDTF">2025-07-09T02:54:00Z</dcterms:modified>
  <cp:category/>
</cp:coreProperties>
</file>